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EB8" w:rsidRDefault="00C93EB8">
      <w:pPr>
        <w:spacing w:after="240"/>
        <w:ind w:left="9469"/>
      </w:pPr>
      <w:bookmarkStart w:id="0" w:name="_GoBack"/>
      <w:bookmarkEnd w:id="0"/>
    </w:p>
    <w:p w:rsidR="00BD34D1" w:rsidRDefault="00C93EB8">
      <w:pPr>
        <w:spacing w:after="240"/>
        <w:ind w:left="9469"/>
      </w:pPr>
      <w:r>
        <w:t xml:space="preserve">По форме </w:t>
      </w:r>
      <w:r w:rsidR="00BD34D1">
        <w:t>Приложени</w:t>
      </w:r>
      <w:r>
        <w:t>я</w:t>
      </w:r>
      <w:r w:rsidR="00BD34D1">
        <w:t xml:space="preserve"> № 16</w:t>
      </w:r>
      <w:r>
        <w:t xml:space="preserve"> </w:t>
      </w:r>
      <w:r w:rsidR="00BD34D1">
        <w:t>к приказу ФАС России от 08.10.2014 № 631/14</w:t>
      </w:r>
    </w:p>
    <w:p w:rsidR="00BD34D1" w:rsidRDefault="00D34CA0">
      <w:pPr>
        <w:spacing w:after="240"/>
        <w:jc w:val="center"/>
        <w:rPr>
          <w:b/>
          <w:bCs/>
          <w:sz w:val="26"/>
          <w:szCs w:val="26"/>
        </w:rPr>
      </w:pPr>
      <w:r>
        <w:rPr>
          <w:b/>
          <w:bCs/>
          <w:sz w:val="26"/>
          <w:szCs w:val="26"/>
        </w:rPr>
        <w:t>Основные</w:t>
      </w:r>
      <w:r w:rsidR="00BD34D1">
        <w:rPr>
          <w:b/>
          <w:bCs/>
          <w:sz w:val="26"/>
          <w:szCs w:val="26"/>
        </w:rPr>
        <w:t xml:space="preserve"> условия договора купли-продажи электрической энергии</w:t>
      </w:r>
    </w:p>
    <w:tbl>
      <w:tblPr>
        <w:tblW w:w="15168" w:type="dxa"/>
        <w:tblInd w:w="-1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851"/>
        <w:gridCol w:w="2977"/>
        <w:gridCol w:w="9922"/>
      </w:tblGrid>
      <w:tr w:rsidR="00BD34D1" w:rsidTr="007F3FBD">
        <w:tblPrEx>
          <w:tblCellMar>
            <w:top w:w="0" w:type="dxa"/>
            <w:bottom w:w="0" w:type="dxa"/>
          </w:tblCellMar>
        </w:tblPrEx>
        <w:trPr>
          <w:cantSplit/>
          <w:trHeight w:val="1194"/>
        </w:trPr>
        <w:tc>
          <w:tcPr>
            <w:tcW w:w="1418" w:type="dxa"/>
            <w:vMerge w:val="restart"/>
            <w:textDirection w:val="btLr"/>
            <w:vAlign w:val="center"/>
          </w:tcPr>
          <w:p w:rsidR="00BD34D1" w:rsidRDefault="00BD34D1">
            <w:pPr>
              <w:ind w:left="113" w:right="113"/>
              <w:jc w:val="center"/>
              <w:rPr>
                <w:b/>
                <w:bCs/>
                <w:sz w:val="24"/>
                <w:szCs w:val="24"/>
              </w:rPr>
            </w:pPr>
            <w:r>
              <w:rPr>
                <w:b/>
                <w:bCs/>
                <w:sz w:val="24"/>
                <w:szCs w:val="24"/>
              </w:rPr>
              <w:t>Основные условия договора купли-продажи электрической энергии</w:t>
            </w:r>
          </w:p>
        </w:tc>
        <w:tc>
          <w:tcPr>
            <w:tcW w:w="851" w:type="dxa"/>
            <w:vAlign w:val="center"/>
          </w:tcPr>
          <w:p w:rsidR="00BD34D1" w:rsidRDefault="00BD34D1">
            <w:pPr>
              <w:jc w:val="center"/>
              <w:rPr>
                <w:sz w:val="24"/>
                <w:szCs w:val="24"/>
              </w:rPr>
            </w:pPr>
            <w:r>
              <w:rPr>
                <w:sz w:val="24"/>
                <w:szCs w:val="24"/>
              </w:rPr>
              <w:t>1</w:t>
            </w:r>
          </w:p>
        </w:tc>
        <w:tc>
          <w:tcPr>
            <w:tcW w:w="2977" w:type="dxa"/>
            <w:vAlign w:val="center"/>
          </w:tcPr>
          <w:p w:rsidR="00BD34D1" w:rsidRDefault="00BD34D1">
            <w:pPr>
              <w:jc w:val="center"/>
              <w:rPr>
                <w:sz w:val="24"/>
                <w:szCs w:val="24"/>
              </w:rPr>
            </w:pPr>
            <w:r>
              <w:rPr>
                <w:sz w:val="24"/>
                <w:szCs w:val="24"/>
              </w:rPr>
              <w:t>Срок действия договора</w:t>
            </w:r>
          </w:p>
        </w:tc>
        <w:tc>
          <w:tcPr>
            <w:tcW w:w="9922" w:type="dxa"/>
            <w:vAlign w:val="center"/>
          </w:tcPr>
          <w:p w:rsidR="00BD34D1" w:rsidRPr="007F3FBD" w:rsidRDefault="00BD34D1" w:rsidP="007F3FBD">
            <w:pPr>
              <w:jc w:val="both"/>
              <w:rPr>
                <w:sz w:val="24"/>
                <w:szCs w:val="24"/>
              </w:rPr>
            </w:pPr>
          </w:p>
          <w:p w:rsidR="007F3FBD" w:rsidRPr="007F3FBD" w:rsidRDefault="007F3FBD" w:rsidP="007F3FBD">
            <w:pPr>
              <w:jc w:val="both"/>
              <w:rPr>
                <w:sz w:val="24"/>
                <w:szCs w:val="24"/>
              </w:rPr>
            </w:pPr>
            <w:r w:rsidRPr="007F3FBD">
              <w:rPr>
                <w:color w:val="333333"/>
                <w:sz w:val="24"/>
                <w:szCs w:val="24"/>
                <w:shd w:val="clear" w:color="auto" w:fill="FFFFFF"/>
              </w:rPr>
              <w:t>Договор заключается на срок до 31 декабря текущего года и считается ежегодно продлённым на период с 01 января по 31 декабря следующего календарного года на тех же условиях, если за 30 дней до окончания срока его действия потребитель не заявит о его прекращении или изменении либо о заключении нового договора.</w:t>
            </w:r>
          </w:p>
        </w:tc>
      </w:tr>
      <w:tr w:rsidR="00BD34D1" w:rsidTr="007F3FBD">
        <w:tblPrEx>
          <w:tblCellMar>
            <w:top w:w="0" w:type="dxa"/>
            <w:bottom w:w="0" w:type="dxa"/>
          </w:tblCellMar>
        </w:tblPrEx>
        <w:trPr>
          <w:cantSplit/>
        </w:trPr>
        <w:tc>
          <w:tcPr>
            <w:tcW w:w="1418" w:type="dxa"/>
            <w:vMerge/>
            <w:vAlign w:val="center"/>
          </w:tcPr>
          <w:p w:rsidR="00BD34D1" w:rsidRDefault="00BD34D1">
            <w:pPr>
              <w:jc w:val="center"/>
              <w:rPr>
                <w:b/>
                <w:bCs/>
                <w:sz w:val="24"/>
                <w:szCs w:val="24"/>
              </w:rPr>
            </w:pPr>
          </w:p>
        </w:tc>
        <w:tc>
          <w:tcPr>
            <w:tcW w:w="851" w:type="dxa"/>
            <w:vAlign w:val="center"/>
          </w:tcPr>
          <w:p w:rsidR="00BD34D1" w:rsidRDefault="00BD34D1">
            <w:pPr>
              <w:jc w:val="center"/>
              <w:rPr>
                <w:sz w:val="24"/>
                <w:szCs w:val="24"/>
              </w:rPr>
            </w:pPr>
            <w:r>
              <w:rPr>
                <w:sz w:val="24"/>
                <w:szCs w:val="24"/>
              </w:rPr>
              <w:t>2</w:t>
            </w:r>
          </w:p>
        </w:tc>
        <w:tc>
          <w:tcPr>
            <w:tcW w:w="2977" w:type="dxa"/>
            <w:vAlign w:val="center"/>
          </w:tcPr>
          <w:p w:rsidR="00BD34D1" w:rsidRDefault="00BD34D1">
            <w:pPr>
              <w:jc w:val="center"/>
              <w:rPr>
                <w:sz w:val="24"/>
                <w:szCs w:val="24"/>
              </w:rPr>
            </w:pPr>
            <w:r>
              <w:rPr>
                <w:sz w:val="24"/>
                <w:szCs w:val="24"/>
              </w:rPr>
              <w:t>Вид цены на электрическую энергию (фиксированная или переменная)</w:t>
            </w:r>
          </w:p>
        </w:tc>
        <w:tc>
          <w:tcPr>
            <w:tcW w:w="9922" w:type="dxa"/>
            <w:vAlign w:val="center"/>
          </w:tcPr>
          <w:p w:rsidR="00BD34D1" w:rsidRPr="007F3FBD" w:rsidRDefault="007F3FBD" w:rsidP="007F3FBD">
            <w:pPr>
              <w:jc w:val="both"/>
              <w:rPr>
                <w:sz w:val="24"/>
                <w:szCs w:val="24"/>
              </w:rPr>
            </w:pPr>
            <w:r>
              <w:rPr>
                <w:color w:val="333333"/>
                <w:sz w:val="24"/>
                <w:szCs w:val="24"/>
                <w:shd w:val="clear" w:color="auto" w:fill="FFFFFF"/>
              </w:rPr>
              <w:t>Ц</w:t>
            </w:r>
            <w:r w:rsidRPr="007F3FBD">
              <w:rPr>
                <w:color w:val="333333"/>
                <w:sz w:val="24"/>
                <w:szCs w:val="24"/>
                <w:shd w:val="clear" w:color="auto" w:fill="FFFFFF"/>
              </w:rPr>
              <w:t>ена на электрическую энергию в договорах энергоснабжения (купли-продажи) с потребителями определяется как единая цена (утвержденная на 1 квартал, 1 полугодие, 1 год) или как переменная (по ценовым категориям Гарантирующего поставщика с дисконтом ООО «КЭС»)</w:t>
            </w:r>
            <w:r>
              <w:rPr>
                <w:color w:val="333333"/>
                <w:sz w:val="24"/>
                <w:szCs w:val="24"/>
                <w:shd w:val="clear" w:color="auto" w:fill="FFFFFF"/>
              </w:rPr>
              <w:t>.</w:t>
            </w:r>
          </w:p>
        </w:tc>
      </w:tr>
      <w:tr w:rsidR="00BD34D1" w:rsidTr="007F3FBD">
        <w:tblPrEx>
          <w:tblCellMar>
            <w:top w:w="0" w:type="dxa"/>
            <w:bottom w:w="0" w:type="dxa"/>
          </w:tblCellMar>
        </w:tblPrEx>
        <w:trPr>
          <w:cantSplit/>
        </w:trPr>
        <w:tc>
          <w:tcPr>
            <w:tcW w:w="1418" w:type="dxa"/>
            <w:vMerge/>
            <w:vAlign w:val="center"/>
          </w:tcPr>
          <w:p w:rsidR="00BD34D1" w:rsidRDefault="00BD34D1">
            <w:pPr>
              <w:jc w:val="center"/>
              <w:rPr>
                <w:b/>
                <w:bCs/>
                <w:sz w:val="24"/>
                <w:szCs w:val="24"/>
              </w:rPr>
            </w:pPr>
          </w:p>
        </w:tc>
        <w:tc>
          <w:tcPr>
            <w:tcW w:w="851" w:type="dxa"/>
            <w:vAlign w:val="center"/>
          </w:tcPr>
          <w:p w:rsidR="00BD34D1" w:rsidRDefault="00BD34D1">
            <w:pPr>
              <w:jc w:val="center"/>
              <w:rPr>
                <w:sz w:val="24"/>
                <w:szCs w:val="24"/>
              </w:rPr>
            </w:pPr>
            <w:r>
              <w:rPr>
                <w:sz w:val="24"/>
                <w:szCs w:val="24"/>
              </w:rPr>
              <w:t>3</w:t>
            </w:r>
          </w:p>
        </w:tc>
        <w:tc>
          <w:tcPr>
            <w:tcW w:w="2977" w:type="dxa"/>
            <w:vAlign w:val="center"/>
          </w:tcPr>
          <w:p w:rsidR="00BD34D1" w:rsidRDefault="00BD34D1">
            <w:pPr>
              <w:jc w:val="center"/>
              <w:rPr>
                <w:sz w:val="24"/>
                <w:szCs w:val="24"/>
              </w:rPr>
            </w:pPr>
            <w:r>
              <w:rPr>
                <w:sz w:val="24"/>
                <w:szCs w:val="24"/>
              </w:rPr>
              <w:t>Форма оплаты</w:t>
            </w:r>
          </w:p>
        </w:tc>
        <w:tc>
          <w:tcPr>
            <w:tcW w:w="9922" w:type="dxa"/>
            <w:vAlign w:val="center"/>
          </w:tcPr>
          <w:p w:rsidR="00BD34D1" w:rsidRPr="007F3FBD" w:rsidRDefault="00BD34D1" w:rsidP="007F3FBD">
            <w:pPr>
              <w:jc w:val="both"/>
              <w:rPr>
                <w:sz w:val="24"/>
                <w:szCs w:val="24"/>
              </w:rPr>
            </w:pPr>
          </w:p>
          <w:p w:rsidR="007F3FBD" w:rsidRPr="007F3FBD" w:rsidRDefault="007F3FBD" w:rsidP="007F3FBD">
            <w:pPr>
              <w:jc w:val="both"/>
              <w:rPr>
                <w:sz w:val="24"/>
                <w:szCs w:val="24"/>
              </w:rPr>
            </w:pPr>
            <w:r>
              <w:rPr>
                <w:color w:val="333333"/>
                <w:sz w:val="24"/>
                <w:szCs w:val="24"/>
                <w:shd w:val="clear" w:color="auto" w:fill="FFFFFF"/>
              </w:rPr>
              <w:t>О</w:t>
            </w:r>
            <w:r w:rsidRPr="007F3FBD">
              <w:rPr>
                <w:color w:val="333333"/>
                <w:sz w:val="24"/>
                <w:szCs w:val="24"/>
                <w:shd w:val="clear" w:color="auto" w:fill="FFFFFF"/>
              </w:rPr>
              <w:t>пределяется договором по соглашению обеих сторон</w:t>
            </w:r>
            <w:r>
              <w:rPr>
                <w:color w:val="333333"/>
                <w:sz w:val="24"/>
                <w:szCs w:val="24"/>
                <w:shd w:val="clear" w:color="auto" w:fill="FFFFFF"/>
              </w:rPr>
              <w:t>.</w:t>
            </w:r>
          </w:p>
        </w:tc>
      </w:tr>
      <w:tr w:rsidR="00BD34D1" w:rsidTr="007F3FBD">
        <w:tblPrEx>
          <w:tblCellMar>
            <w:top w:w="0" w:type="dxa"/>
            <w:bottom w:w="0" w:type="dxa"/>
          </w:tblCellMar>
        </w:tblPrEx>
        <w:trPr>
          <w:cantSplit/>
        </w:trPr>
        <w:tc>
          <w:tcPr>
            <w:tcW w:w="1418" w:type="dxa"/>
            <w:vMerge/>
            <w:vAlign w:val="center"/>
          </w:tcPr>
          <w:p w:rsidR="00BD34D1" w:rsidRDefault="00BD34D1">
            <w:pPr>
              <w:jc w:val="center"/>
              <w:rPr>
                <w:b/>
                <w:bCs/>
                <w:sz w:val="24"/>
                <w:szCs w:val="24"/>
              </w:rPr>
            </w:pPr>
          </w:p>
        </w:tc>
        <w:tc>
          <w:tcPr>
            <w:tcW w:w="851" w:type="dxa"/>
            <w:vAlign w:val="center"/>
          </w:tcPr>
          <w:p w:rsidR="00BD34D1" w:rsidRDefault="00BD34D1">
            <w:pPr>
              <w:jc w:val="center"/>
              <w:rPr>
                <w:sz w:val="24"/>
                <w:szCs w:val="24"/>
              </w:rPr>
            </w:pPr>
            <w:r>
              <w:rPr>
                <w:sz w:val="24"/>
                <w:szCs w:val="24"/>
              </w:rPr>
              <w:t>4</w:t>
            </w:r>
          </w:p>
        </w:tc>
        <w:tc>
          <w:tcPr>
            <w:tcW w:w="2977" w:type="dxa"/>
            <w:vAlign w:val="center"/>
          </w:tcPr>
          <w:p w:rsidR="00BD34D1" w:rsidRDefault="00BD34D1">
            <w:pPr>
              <w:jc w:val="center"/>
              <w:rPr>
                <w:sz w:val="24"/>
                <w:szCs w:val="24"/>
              </w:rPr>
            </w:pPr>
            <w:r>
              <w:rPr>
                <w:sz w:val="24"/>
                <w:szCs w:val="24"/>
              </w:rPr>
              <w:t>Форма обеспечения исполнения обязательств сторон по договору</w:t>
            </w:r>
          </w:p>
        </w:tc>
        <w:tc>
          <w:tcPr>
            <w:tcW w:w="9922" w:type="dxa"/>
            <w:vAlign w:val="center"/>
          </w:tcPr>
          <w:p w:rsidR="00BD34D1" w:rsidRPr="007F3FBD" w:rsidRDefault="007F3FBD" w:rsidP="007F3FBD">
            <w:pPr>
              <w:jc w:val="both"/>
              <w:rPr>
                <w:sz w:val="24"/>
                <w:szCs w:val="24"/>
              </w:rPr>
            </w:pPr>
            <w:r>
              <w:rPr>
                <w:color w:val="333333"/>
                <w:sz w:val="24"/>
                <w:szCs w:val="24"/>
                <w:shd w:val="clear" w:color="auto" w:fill="FFFFFF"/>
              </w:rPr>
              <w:t>П</w:t>
            </w:r>
            <w:r w:rsidRPr="007F3FBD">
              <w:rPr>
                <w:color w:val="333333"/>
                <w:sz w:val="24"/>
                <w:szCs w:val="24"/>
                <w:shd w:val="clear" w:color="auto" w:fill="FFFFFF"/>
              </w:rPr>
              <w:t>осредством ограничения (частично или полностью) подачи электрической энергии в соответствии с законодательством и согласованным сторонами договором</w:t>
            </w:r>
            <w:r>
              <w:rPr>
                <w:color w:val="333333"/>
                <w:sz w:val="24"/>
                <w:szCs w:val="24"/>
                <w:shd w:val="clear" w:color="auto" w:fill="FFFFFF"/>
              </w:rPr>
              <w:t>.</w:t>
            </w:r>
          </w:p>
        </w:tc>
      </w:tr>
      <w:tr w:rsidR="00BD34D1" w:rsidTr="007F3FBD">
        <w:tblPrEx>
          <w:tblCellMar>
            <w:top w:w="0" w:type="dxa"/>
            <w:bottom w:w="0" w:type="dxa"/>
          </w:tblCellMar>
        </w:tblPrEx>
        <w:trPr>
          <w:cantSplit/>
        </w:trPr>
        <w:tc>
          <w:tcPr>
            <w:tcW w:w="1418" w:type="dxa"/>
            <w:vMerge/>
            <w:vAlign w:val="center"/>
          </w:tcPr>
          <w:p w:rsidR="00BD34D1" w:rsidRDefault="00BD34D1">
            <w:pPr>
              <w:jc w:val="center"/>
              <w:rPr>
                <w:b/>
                <w:bCs/>
                <w:sz w:val="24"/>
                <w:szCs w:val="24"/>
              </w:rPr>
            </w:pPr>
          </w:p>
        </w:tc>
        <w:tc>
          <w:tcPr>
            <w:tcW w:w="851" w:type="dxa"/>
            <w:vAlign w:val="center"/>
          </w:tcPr>
          <w:p w:rsidR="00BD34D1" w:rsidRDefault="00BD34D1">
            <w:pPr>
              <w:jc w:val="center"/>
              <w:rPr>
                <w:sz w:val="24"/>
                <w:szCs w:val="24"/>
              </w:rPr>
            </w:pPr>
            <w:r>
              <w:rPr>
                <w:sz w:val="24"/>
                <w:szCs w:val="24"/>
              </w:rPr>
              <w:t>5</w:t>
            </w:r>
          </w:p>
        </w:tc>
        <w:tc>
          <w:tcPr>
            <w:tcW w:w="2977" w:type="dxa"/>
            <w:vAlign w:val="center"/>
          </w:tcPr>
          <w:p w:rsidR="00BD34D1" w:rsidRDefault="00BD34D1">
            <w:pPr>
              <w:jc w:val="center"/>
              <w:rPr>
                <w:sz w:val="24"/>
                <w:szCs w:val="24"/>
              </w:rPr>
            </w:pPr>
            <w:r>
              <w:rPr>
                <w:sz w:val="24"/>
                <w:szCs w:val="24"/>
              </w:rPr>
              <w:t>Зона обслуживания</w:t>
            </w:r>
          </w:p>
        </w:tc>
        <w:tc>
          <w:tcPr>
            <w:tcW w:w="9922" w:type="dxa"/>
            <w:vAlign w:val="center"/>
          </w:tcPr>
          <w:p w:rsidR="00BD34D1" w:rsidRPr="007F3FBD" w:rsidRDefault="007F3FBD" w:rsidP="007F3FBD">
            <w:pPr>
              <w:jc w:val="both"/>
              <w:rPr>
                <w:sz w:val="24"/>
                <w:szCs w:val="24"/>
              </w:rPr>
            </w:pPr>
            <w:r>
              <w:rPr>
                <w:color w:val="333333"/>
                <w:sz w:val="24"/>
                <w:szCs w:val="24"/>
                <w:shd w:val="clear" w:color="auto" w:fill="FFFFFF"/>
              </w:rPr>
              <w:t xml:space="preserve">В </w:t>
            </w:r>
            <w:r w:rsidRPr="007F3FBD">
              <w:rPr>
                <w:color w:val="333333"/>
                <w:sz w:val="24"/>
                <w:szCs w:val="24"/>
                <w:shd w:val="clear" w:color="auto" w:fill="FFFFFF"/>
              </w:rPr>
              <w:t>связи с тем, что ООО «КЭС» не обладает статусом гарантирующего поставщика, регионы деятельности ООО «КЭС» не регламентированы</w:t>
            </w:r>
            <w:r>
              <w:rPr>
                <w:color w:val="333333"/>
                <w:sz w:val="24"/>
                <w:szCs w:val="24"/>
                <w:shd w:val="clear" w:color="auto" w:fill="FFFFFF"/>
              </w:rPr>
              <w:t>.</w:t>
            </w:r>
          </w:p>
        </w:tc>
      </w:tr>
      <w:tr w:rsidR="00BD34D1" w:rsidTr="007F3FBD">
        <w:tblPrEx>
          <w:tblCellMar>
            <w:top w:w="0" w:type="dxa"/>
            <w:bottom w:w="0" w:type="dxa"/>
          </w:tblCellMar>
        </w:tblPrEx>
        <w:trPr>
          <w:cantSplit/>
        </w:trPr>
        <w:tc>
          <w:tcPr>
            <w:tcW w:w="1418" w:type="dxa"/>
            <w:vMerge/>
            <w:vAlign w:val="center"/>
          </w:tcPr>
          <w:p w:rsidR="00BD34D1" w:rsidRDefault="00BD34D1">
            <w:pPr>
              <w:jc w:val="center"/>
              <w:rPr>
                <w:b/>
                <w:bCs/>
                <w:sz w:val="24"/>
                <w:szCs w:val="24"/>
              </w:rPr>
            </w:pPr>
          </w:p>
        </w:tc>
        <w:tc>
          <w:tcPr>
            <w:tcW w:w="851" w:type="dxa"/>
            <w:vAlign w:val="center"/>
          </w:tcPr>
          <w:p w:rsidR="00BD34D1" w:rsidRDefault="00BD34D1">
            <w:pPr>
              <w:jc w:val="center"/>
              <w:rPr>
                <w:sz w:val="24"/>
                <w:szCs w:val="24"/>
              </w:rPr>
            </w:pPr>
            <w:r>
              <w:rPr>
                <w:sz w:val="24"/>
                <w:szCs w:val="24"/>
              </w:rPr>
              <w:t>6</w:t>
            </w:r>
          </w:p>
        </w:tc>
        <w:tc>
          <w:tcPr>
            <w:tcW w:w="2977" w:type="dxa"/>
            <w:vAlign w:val="center"/>
          </w:tcPr>
          <w:p w:rsidR="00BD34D1" w:rsidRDefault="00BD34D1">
            <w:pPr>
              <w:jc w:val="center"/>
              <w:rPr>
                <w:sz w:val="24"/>
                <w:szCs w:val="24"/>
              </w:rPr>
            </w:pPr>
            <w:r>
              <w:rPr>
                <w:sz w:val="24"/>
                <w:szCs w:val="24"/>
              </w:rPr>
              <w:t>Условия расторжения договора</w:t>
            </w:r>
          </w:p>
        </w:tc>
        <w:tc>
          <w:tcPr>
            <w:tcW w:w="9922" w:type="dxa"/>
            <w:vAlign w:val="center"/>
          </w:tcPr>
          <w:p w:rsidR="00BD34D1" w:rsidRPr="007F3FBD" w:rsidRDefault="007F3FBD" w:rsidP="007F3FBD">
            <w:pPr>
              <w:jc w:val="both"/>
              <w:rPr>
                <w:sz w:val="24"/>
                <w:szCs w:val="24"/>
              </w:rPr>
            </w:pPr>
            <w:r>
              <w:rPr>
                <w:color w:val="333333"/>
                <w:sz w:val="24"/>
                <w:szCs w:val="24"/>
                <w:shd w:val="clear" w:color="auto" w:fill="FFFFFF"/>
              </w:rPr>
              <w:t>В</w:t>
            </w:r>
            <w:r w:rsidRPr="007F3FBD">
              <w:rPr>
                <w:color w:val="333333"/>
                <w:sz w:val="24"/>
                <w:szCs w:val="24"/>
                <w:shd w:val="clear" w:color="auto" w:fill="FFFFFF"/>
              </w:rPr>
              <w:t xml:space="preserve"> соответствии с действующим законодательством с учетом достигнутых сторонами договоренностей, обозначенных в договоре. Отказ от договора, как правило, осуществляется с соблюдением порядка уведомления другой стороны не менее чем за 30 дней до предполагаемой даты расторжения договора. Потребитель, имеющий намерение в одностороннем порядке отказаться от исполнения договора полностью или уменьшить объемы электрической энергии (мощности), приобретаемые у ООО «КЭС", обязан передать ООО «КЭС»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r>
              <w:rPr>
                <w:color w:val="333333"/>
                <w:sz w:val="24"/>
                <w:szCs w:val="24"/>
                <w:shd w:val="clear" w:color="auto" w:fill="FFFFFF"/>
              </w:rPr>
              <w:t>.</w:t>
            </w:r>
          </w:p>
        </w:tc>
      </w:tr>
      <w:tr w:rsidR="00BD34D1" w:rsidTr="007F3FBD">
        <w:tblPrEx>
          <w:tblCellMar>
            <w:top w:w="0" w:type="dxa"/>
            <w:bottom w:w="0" w:type="dxa"/>
          </w:tblCellMar>
        </w:tblPrEx>
        <w:trPr>
          <w:cantSplit/>
        </w:trPr>
        <w:tc>
          <w:tcPr>
            <w:tcW w:w="1418" w:type="dxa"/>
            <w:vMerge/>
            <w:vAlign w:val="center"/>
          </w:tcPr>
          <w:p w:rsidR="00BD34D1" w:rsidRDefault="00BD34D1">
            <w:pPr>
              <w:jc w:val="center"/>
              <w:rPr>
                <w:b/>
                <w:bCs/>
                <w:sz w:val="24"/>
                <w:szCs w:val="24"/>
              </w:rPr>
            </w:pPr>
          </w:p>
        </w:tc>
        <w:tc>
          <w:tcPr>
            <w:tcW w:w="851" w:type="dxa"/>
            <w:vAlign w:val="center"/>
          </w:tcPr>
          <w:p w:rsidR="00BD34D1" w:rsidRDefault="00BD34D1">
            <w:pPr>
              <w:jc w:val="center"/>
              <w:rPr>
                <w:sz w:val="24"/>
                <w:szCs w:val="24"/>
              </w:rPr>
            </w:pPr>
            <w:r>
              <w:rPr>
                <w:sz w:val="24"/>
                <w:szCs w:val="24"/>
              </w:rPr>
              <w:t>7</w:t>
            </w:r>
          </w:p>
        </w:tc>
        <w:tc>
          <w:tcPr>
            <w:tcW w:w="2977" w:type="dxa"/>
            <w:vAlign w:val="center"/>
          </w:tcPr>
          <w:p w:rsidR="00BD34D1" w:rsidRDefault="00BD34D1">
            <w:pPr>
              <w:jc w:val="center"/>
              <w:rPr>
                <w:sz w:val="24"/>
                <w:szCs w:val="24"/>
              </w:rPr>
            </w:pPr>
            <w:r>
              <w:rPr>
                <w:sz w:val="24"/>
                <w:szCs w:val="24"/>
              </w:rPr>
              <w:t>Ответственность сторон</w:t>
            </w:r>
          </w:p>
        </w:tc>
        <w:tc>
          <w:tcPr>
            <w:tcW w:w="9922" w:type="dxa"/>
            <w:vAlign w:val="center"/>
          </w:tcPr>
          <w:p w:rsidR="00BD34D1" w:rsidRPr="007F3FBD" w:rsidRDefault="007F3FBD" w:rsidP="007F3FBD">
            <w:pPr>
              <w:jc w:val="both"/>
              <w:rPr>
                <w:sz w:val="24"/>
                <w:szCs w:val="24"/>
              </w:rPr>
            </w:pPr>
            <w:r>
              <w:rPr>
                <w:color w:val="333333"/>
                <w:sz w:val="24"/>
                <w:szCs w:val="24"/>
                <w:shd w:val="clear" w:color="auto" w:fill="FFFFFF"/>
              </w:rPr>
              <w:t>У</w:t>
            </w:r>
            <w:r w:rsidRPr="007F3FBD">
              <w:rPr>
                <w:color w:val="333333"/>
                <w:sz w:val="24"/>
                <w:szCs w:val="24"/>
                <w:shd w:val="clear" w:color="auto" w:fill="FFFFFF"/>
              </w:rPr>
              <w:t>словия об ответственности сторон определяются договором по соглашению обеих сторон. В случаях неисполнения или ненадлежащего исполнения своих обязательств по договору потребитель несет ответственность в соответствии с действующим законодательством Российской Федерации. В случаях неисполнения или ненадлежащего исполнения своих обязательств по договору энергосбытовая компания обязана возместить причиненный потребителю ущерб. Стороны освобождаются от ответственности за неисполнение или ненадлежащее исполнение обязательств по договору, если это явилось следствием обстоятельств непреодолимой силы</w:t>
            </w:r>
            <w:r>
              <w:rPr>
                <w:color w:val="333333"/>
                <w:sz w:val="24"/>
                <w:szCs w:val="24"/>
                <w:shd w:val="clear" w:color="auto" w:fill="FFFFFF"/>
              </w:rPr>
              <w:t>.</w:t>
            </w:r>
          </w:p>
        </w:tc>
      </w:tr>
      <w:tr w:rsidR="00BD34D1" w:rsidTr="007F3FBD">
        <w:tblPrEx>
          <w:tblCellMar>
            <w:top w:w="0" w:type="dxa"/>
            <w:bottom w:w="0" w:type="dxa"/>
          </w:tblCellMar>
        </w:tblPrEx>
        <w:trPr>
          <w:cantSplit/>
        </w:trPr>
        <w:tc>
          <w:tcPr>
            <w:tcW w:w="1418" w:type="dxa"/>
            <w:vMerge/>
            <w:vAlign w:val="center"/>
          </w:tcPr>
          <w:p w:rsidR="00BD34D1" w:rsidRDefault="00BD34D1">
            <w:pPr>
              <w:jc w:val="center"/>
              <w:rPr>
                <w:b/>
                <w:bCs/>
                <w:sz w:val="24"/>
                <w:szCs w:val="24"/>
              </w:rPr>
            </w:pPr>
          </w:p>
        </w:tc>
        <w:tc>
          <w:tcPr>
            <w:tcW w:w="851" w:type="dxa"/>
            <w:vAlign w:val="center"/>
          </w:tcPr>
          <w:p w:rsidR="00BD34D1" w:rsidRDefault="00BD34D1">
            <w:pPr>
              <w:jc w:val="center"/>
              <w:rPr>
                <w:sz w:val="24"/>
                <w:szCs w:val="24"/>
              </w:rPr>
            </w:pPr>
            <w:r>
              <w:rPr>
                <w:sz w:val="24"/>
                <w:szCs w:val="24"/>
              </w:rPr>
              <w:t>8</w:t>
            </w:r>
          </w:p>
        </w:tc>
        <w:tc>
          <w:tcPr>
            <w:tcW w:w="2977" w:type="dxa"/>
            <w:vAlign w:val="center"/>
          </w:tcPr>
          <w:p w:rsidR="00BD34D1" w:rsidRPr="007F3FBD" w:rsidRDefault="00BD34D1">
            <w:pPr>
              <w:jc w:val="center"/>
              <w:rPr>
                <w:sz w:val="24"/>
                <w:szCs w:val="24"/>
              </w:rPr>
            </w:pPr>
            <w:r w:rsidRPr="007F3FBD">
              <w:rPr>
                <w:sz w:val="24"/>
                <w:szCs w:val="24"/>
              </w:rPr>
              <w:t>Иная информация, являющаяся существенной для потребителей</w:t>
            </w:r>
          </w:p>
        </w:tc>
        <w:tc>
          <w:tcPr>
            <w:tcW w:w="9922" w:type="dxa"/>
            <w:vAlign w:val="center"/>
          </w:tcPr>
          <w:p w:rsidR="00BD34D1" w:rsidRPr="007F3FBD" w:rsidRDefault="007F3FBD" w:rsidP="007F3FBD">
            <w:pPr>
              <w:jc w:val="both"/>
              <w:rPr>
                <w:sz w:val="24"/>
                <w:szCs w:val="24"/>
              </w:rPr>
            </w:pPr>
            <w:r>
              <w:rPr>
                <w:color w:val="333333"/>
                <w:sz w:val="24"/>
                <w:szCs w:val="24"/>
                <w:shd w:val="clear" w:color="auto" w:fill="FFFFFF"/>
              </w:rPr>
              <w:t>И</w:t>
            </w:r>
            <w:r w:rsidRPr="007F3FBD">
              <w:rPr>
                <w:color w:val="333333"/>
                <w:sz w:val="24"/>
                <w:szCs w:val="24"/>
                <w:shd w:val="clear" w:color="auto" w:fill="FFFFFF"/>
              </w:rPr>
              <w:t>зменение основных условий договора возможно по соглашению сторон</w:t>
            </w:r>
            <w:r>
              <w:rPr>
                <w:color w:val="333333"/>
                <w:sz w:val="24"/>
                <w:szCs w:val="24"/>
                <w:shd w:val="clear" w:color="auto" w:fill="FFFFFF"/>
              </w:rPr>
              <w:t>.</w:t>
            </w:r>
          </w:p>
        </w:tc>
      </w:tr>
    </w:tbl>
    <w:p w:rsidR="00BD34D1" w:rsidRDefault="00BD34D1">
      <w:pPr>
        <w:rPr>
          <w:sz w:val="24"/>
          <w:szCs w:val="24"/>
        </w:rPr>
      </w:pPr>
    </w:p>
    <w:sectPr w:rsidR="00BD34D1">
      <w:headerReference w:type="default" r:id="rId6"/>
      <w:pgSz w:w="16840" w:h="11907" w:orient="landscape" w:code="9"/>
      <w:pgMar w:top="1134" w:right="2835" w:bottom="567" w:left="2552" w:header="397" w:footer="397" w:gutter="0"/>
      <w:cols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A08" w:rsidRDefault="00107A08">
      <w:r>
        <w:separator/>
      </w:r>
    </w:p>
  </w:endnote>
  <w:endnote w:type="continuationSeparator" w:id="0">
    <w:p w:rsidR="00107A08" w:rsidRDefault="0010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A08" w:rsidRDefault="00107A08">
      <w:r>
        <w:separator/>
      </w:r>
    </w:p>
  </w:footnote>
  <w:footnote w:type="continuationSeparator" w:id="0">
    <w:p w:rsidR="00107A08" w:rsidRDefault="00107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4D1" w:rsidRDefault="00BD34D1">
    <w:pPr>
      <w:pStyle w:val="a3"/>
      <w:jc w:val="right"/>
      <w:rPr>
        <w:b/>
        <w:bCs/>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BD"/>
    <w:rsid w:val="00107A08"/>
    <w:rsid w:val="00642C5F"/>
    <w:rsid w:val="007F3FBD"/>
    <w:rsid w:val="00BD34D1"/>
    <w:rsid w:val="00C93EB8"/>
    <w:rsid w:val="00CC7E07"/>
    <w:rsid w:val="00D34CA0"/>
    <w:rsid w:val="00F00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9F17F6-9E9D-41BA-B798-FFFB1EB5A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paragraph" w:customStyle="1" w:styleId="81">
    <w:name w:val="Основной текст (8)1"/>
    <w:basedOn w:val="a"/>
    <w:uiPriority w:val="99"/>
    <w:pPr>
      <w:shd w:val="clear" w:color="auto" w:fill="FFFFFF"/>
      <w:spacing w:line="288" w:lineRule="exact"/>
      <w:jc w:val="both"/>
    </w:pPr>
    <w:rPr>
      <w:b/>
      <w:bCs/>
      <w:noProof/>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2365</Characters>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2014-10-30T08:38:00Z</cp:lastPrinted>
  <dcterms:created xsi:type="dcterms:W3CDTF">2020-10-06T06:02:00Z</dcterms:created>
  <dcterms:modified xsi:type="dcterms:W3CDTF">2020-10-06T06:02:00Z</dcterms:modified>
</cp:coreProperties>
</file>